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Default="00DC05B0" w:rsidP="00290B55">
      <w:pPr>
        <w:pStyle w:val="Heading110"/>
        <w:shd w:val="clear" w:color="auto" w:fill="auto"/>
        <w:spacing w:after="120" w:line="276" w:lineRule="auto"/>
        <w:rPr>
          <w:color w:val="000000"/>
        </w:rPr>
      </w:pPr>
      <w:bookmarkStart w:id="0" w:name="bookmark0"/>
      <w:r>
        <w:rPr>
          <w:color w:val="000000"/>
        </w:rPr>
        <w:t>Simulare pe tema acțiunilor în favoarea climei: țări</w:t>
      </w:r>
      <w:r w:rsidR="008C7380">
        <w:rPr>
          <w:color w:val="000000"/>
        </w:rPr>
        <w:t> </w:t>
      </w:r>
      <w:r>
        <w:rPr>
          <w:color w:val="000000"/>
        </w:rPr>
        <w:t>dezvoltate</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451"/>
        <w:gridCol w:w="5636"/>
      </w:tblGrid>
      <w:tr w:rsidR="004D0CFD" w:rsidTr="008C7380">
        <w:trPr>
          <w:trHeight w:val="725"/>
        </w:trPr>
        <w:tc>
          <w:tcPr>
            <w:tcW w:w="2660" w:type="dxa"/>
            <w:vMerge w:val="restart"/>
          </w:tcPr>
          <w:p w:rsidR="004D0CFD" w:rsidRPr="00290B55" w:rsidRDefault="0091067F" w:rsidP="004D0CFD">
            <w:pPr>
              <w:rPr>
                <w:sz w:val="16"/>
                <w:szCs w:val="16"/>
              </w:rPr>
            </w:pPr>
            <w:r>
              <w:rPr>
                <w:noProof/>
                <w:sz w:val="16"/>
                <w:szCs w:val="16"/>
                <w:lang w:val="en-GB" w:eastAsia="en-GB"/>
              </w:rPr>
              <w:drawing>
                <wp:anchor distT="0" distB="0" distL="63500" distR="63500" simplePos="0" relativeHeight="377491201"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451" w:type="dxa"/>
          </w:tcPr>
          <w:p w:rsidR="004D0CFD" w:rsidRPr="00290B55" w:rsidRDefault="004D0CFD" w:rsidP="00290B55">
            <w:pPr>
              <w:spacing w:before="120"/>
              <w:rPr>
                <w:b/>
              </w:rPr>
            </w:pPr>
            <w:r>
              <w:rPr>
                <w:b/>
                <w:color w:val="000000"/>
              </w:rPr>
              <w:t xml:space="preserve">Destinatari: </w:t>
            </w:r>
          </w:p>
        </w:tc>
        <w:tc>
          <w:tcPr>
            <w:tcW w:w="5636" w:type="dxa"/>
          </w:tcPr>
          <w:p w:rsidR="004D0CFD" w:rsidRPr="00290B55" w:rsidRDefault="004D0CFD" w:rsidP="00290B55">
            <w:pPr>
              <w:spacing w:before="120"/>
              <w:rPr>
                <w:b/>
                <w:color w:val="000000"/>
              </w:rPr>
            </w:pPr>
            <w:r>
              <w:rPr>
                <w:b/>
                <w:color w:val="000000"/>
              </w:rPr>
              <w:t>Negociatorii-șefi ai țărilor dezvoltate</w:t>
            </w:r>
          </w:p>
          <w:p w:rsidR="004D0CFD" w:rsidRDefault="004D0CFD" w:rsidP="004D0CFD">
            <w:r>
              <w:rPr>
                <w:color w:val="000000"/>
              </w:rPr>
              <w:t>(SUA, Canada, Uniunea Europeană, Japonia, Rusia și alte foste republici sovietice, Coreea de Sud, Australia, Noua Zeelandă)</w:t>
            </w:r>
          </w:p>
        </w:tc>
      </w:tr>
      <w:tr w:rsidR="004D0CFD" w:rsidTr="008C7380">
        <w:trPr>
          <w:trHeight w:val="725"/>
        </w:trPr>
        <w:tc>
          <w:tcPr>
            <w:tcW w:w="2660" w:type="dxa"/>
            <w:vMerge/>
          </w:tcPr>
          <w:p w:rsidR="004D0CFD" w:rsidRPr="004D0CFD" w:rsidRDefault="004D0CFD" w:rsidP="004D0CFD">
            <w:pPr>
              <w:rPr>
                <w:lang w:bidi="en-US"/>
              </w:rPr>
            </w:pPr>
          </w:p>
        </w:tc>
        <w:tc>
          <w:tcPr>
            <w:tcW w:w="1451" w:type="dxa"/>
          </w:tcPr>
          <w:p w:rsidR="004D0CFD" w:rsidRPr="00290B55" w:rsidRDefault="004D0CFD" w:rsidP="00290B55">
            <w:pPr>
              <w:spacing w:before="120"/>
              <w:rPr>
                <w:b/>
                <w:color w:val="000000"/>
              </w:rPr>
            </w:pPr>
            <w:r>
              <w:rPr>
                <w:b/>
                <w:color w:val="000000"/>
              </w:rPr>
              <w:t>Subiect:</w:t>
            </w:r>
          </w:p>
        </w:tc>
        <w:tc>
          <w:tcPr>
            <w:tcW w:w="5636" w:type="dxa"/>
          </w:tcPr>
          <w:p w:rsidR="004D0CFD" w:rsidRPr="00290B55" w:rsidRDefault="004D0CFD" w:rsidP="00290B55">
            <w:pPr>
              <w:spacing w:before="120"/>
              <w:rPr>
                <w:b/>
                <w:color w:val="000000"/>
              </w:rPr>
            </w:pPr>
            <w:r>
              <w:rPr>
                <w:b/>
                <w:color w:val="000000"/>
              </w:rPr>
              <w:t xml:space="preserve">Pregătirea </w:t>
            </w:r>
            <w:proofErr w:type="spellStart"/>
            <w:r>
              <w:rPr>
                <w:b/>
                <w:color w:val="000000"/>
              </w:rPr>
              <w:t>summitului</w:t>
            </w:r>
            <w:proofErr w:type="spellEnd"/>
            <w:r>
              <w:rPr>
                <w:b/>
                <w:color w:val="000000"/>
              </w:rPr>
              <w:t xml:space="preserve"> pentru acțiuni climatice</w:t>
            </w:r>
          </w:p>
        </w:tc>
      </w:tr>
    </w:tbl>
    <w:p w:rsidR="004D0CFD" w:rsidRPr="00290B55" w:rsidRDefault="004D0CFD" w:rsidP="00290B55"/>
    <w:p w:rsidR="002C1D77" w:rsidRPr="004D0CFD" w:rsidRDefault="00DC05B0" w:rsidP="00290B55">
      <w:pPr>
        <w:spacing w:after="120"/>
      </w:pPr>
      <w:r>
        <w:t xml:space="preserve">Bine ați venit la </w:t>
      </w:r>
      <w:proofErr w:type="spellStart"/>
      <w:r>
        <w:t>summitul</w:t>
      </w:r>
      <w:proofErr w:type="spellEnd"/>
      <w:r>
        <w:t xml:space="preserve"> pentru acțiuni climatice. Împreună cu liderii tuturor părților interesate relevante, ați fost invitat de secretarul general al ONU să colaborați pentru a găsi soluții eficiente de combatere a schimbărilor climatice. În invitația sa, secretarul general </w:t>
      </w:r>
      <w:r>
        <w:rPr>
          <w:rStyle w:val="Bodytext2"/>
        </w:rPr>
        <w:t>a afirmat</w:t>
      </w:r>
      <w:r>
        <w:t>: „Urgența climatică este o cursă pe cale să o pierdem, deși o putem câștiga... Crema științei ... ne asigură că orice creștere a temperaturii cu peste 1,5 C va produce daune majore și ireversibile ecosistemelor care ne țin în viață ... Dar tot știința ne spune că nu este prea târziu. Putem reuși... Dar va fi nevoie de schimbări fundamentale în toate aspectele societății – cum ne vom obține hrana, cum vom utiliza terenurile, cum ne vom alimenta transporturile și ce energie vom folosi în economie... Dacă vom acționa împreună, ni</w:t>
      </w:r>
      <w:r w:rsidR="00CF2244">
        <w:t>meni nu va fi lăsat de</w:t>
      </w:r>
      <w:r>
        <w:t>oparte”.</w:t>
      </w:r>
    </w:p>
    <w:p w:rsidR="002C1D77" w:rsidRPr="004D0CFD" w:rsidRDefault="00DC05B0" w:rsidP="000A6D24">
      <w:pPr>
        <w:spacing w:after="120" w:line="276" w:lineRule="auto"/>
      </w:pPr>
      <w:r>
        <w:rPr>
          <w:color w:val="000000"/>
        </w:rPr>
        <w:t xml:space="preserve">Obiectivul </w:t>
      </w:r>
      <w:proofErr w:type="spellStart"/>
      <w:r>
        <w:rPr>
          <w:color w:val="000000"/>
        </w:rPr>
        <w:t>summitului</w:t>
      </w:r>
      <w:proofErr w:type="spellEnd"/>
      <w:r>
        <w:rPr>
          <w:color w:val="000000"/>
        </w:rPr>
        <w:t xml:space="preserve"> este de a crea un plan de limitare a încălzirii globale la mai puțin de 2 °C [3,6 °F] comparativ cu nivelurile preindustriale și de a depune eforturi de limitare a ei la 1,5 °C [2,7 °F], acestea fiind țintele internaționale recunoscute în mod oficial în Acordul de la Paris privind schimbările climatice. </w:t>
      </w:r>
      <w:r>
        <w:rPr>
          <w:rStyle w:val="Bodytext2"/>
        </w:rPr>
        <w:t>Dovezile științifice</w:t>
      </w:r>
      <w:r>
        <w:t xml:space="preserve"> sunt clare: încălzirea peste această limită va genera efecte catastrofale și ireversibile care vor amenința sănătatea, prosperitatea și viața oamenilor din toate țările.</w:t>
      </w:r>
    </w:p>
    <w:p w:rsidR="002C1D77" w:rsidRPr="004D0CFD" w:rsidRDefault="00DC05B0" w:rsidP="00290B55">
      <w:pPr>
        <w:spacing w:after="120" w:line="276" w:lineRule="auto"/>
      </w:pPr>
      <w:r>
        <w:rPr>
          <w:color w:val="000000"/>
        </w:rPr>
        <w:t>Reprezentați națiunile dezvoltate la nivel mondial (enumerate mai sus). Populația totală a națiunilor dumneavoastră se ridică la aproape 1,3 miliarde de locuitori, adică circa 17 % din cei 7,7 miliarde de locuitori ai planetei. Împreună, țările dumneavoastră generează 60 % din producția economică mondială și au cel mai mare PIB (produs intern brut) pe cap de locuitor.</w:t>
      </w:r>
    </w:p>
    <w:p w:rsidR="002C1D77" w:rsidRPr="004D0CFD" w:rsidRDefault="00DC05B0" w:rsidP="00290B55">
      <w:pPr>
        <w:spacing w:after="120" w:line="276" w:lineRule="auto"/>
      </w:pPr>
      <w:r>
        <w:rPr>
          <w:color w:val="000000"/>
        </w:rPr>
        <w:t>Prioritățile dumneavoastră politice sunt enumerate mai jos. Puteți însă propune sau bloca orice soluție politică disponibilă.</w:t>
      </w:r>
    </w:p>
    <w:p w:rsidR="002C1D77" w:rsidRPr="007A09A4" w:rsidRDefault="00DC05B0" w:rsidP="00290B55">
      <w:pPr>
        <w:numPr>
          <w:ilvl w:val="0"/>
          <w:numId w:val="1"/>
        </w:numPr>
        <w:spacing w:after="120" w:line="276" w:lineRule="auto"/>
        <w:ind w:left="403" w:hanging="403"/>
      </w:pPr>
      <w:r>
        <w:rPr>
          <w:b/>
          <w:color w:val="000000"/>
        </w:rPr>
        <w:t>Subvenționați energia din surse regenerabile (de exemplu, energia solară, eoliană, geotermală, a</w:t>
      </w:r>
      <w:r w:rsidR="008C7380">
        <w:rPr>
          <w:b/>
          <w:color w:val="000000"/>
        </w:rPr>
        <w:t> </w:t>
      </w:r>
      <w:bookmarkStart w:id="1" w:name="_GoBack"/>
      <w:bookmarkEnd w:id="1"/>
      <w:r>
        <w:rPr>
          <w:b/>
          <w:color w:val="000000"/>
        </w:rPr>
        <w:t>hidroenergia și stocarea acestor forme de energie)</w:t>
      </w:r>
      <w:r>
        <w:rPr>
          <w:color w:val="000000"/>
        </w:rPr>
        <w:t xml:space="preserve">. </w:t>
      </w:r>
      <w:r>
        <w:t>Industria energiei din surse regenerabile crește rapid, dar continuă să reprezinte mai puțin de 5 % din aprovizionarea cu energie la nivel mondial. Subvențiile vor contribui la dezvoltarea acestor industrii, generând locuri de muncă în țările dumneavoastră, cu condiția să depășiți progresul tehnologic al Chinei și al altor țări în curs de dezvoltare în domeniul energiei eoliene și solare și în cel al bateriilor. Tehnologiile de stocare (de exemplu, prin baterii, cea a energiei termice sau hidroenergia acumulată prin pompare hidraulică) și pentru rețele inteligente (</w:t>
      </w:r>
      <w:proofErr w:type="spellStart"/>
      <w:r>
        <w:rPr>
          <w:i/>
          <w:iCs/>
        </w:rPr>
        <w:t>smart</w:t>
      </w:r>
      <w:proofErr w:type="spellEnd"/>
      <w:r>
        <w:rPr>
          <w:i/>
          <w:iCs/>
        </w:rPr>
        <w:t xml:space="preserve"> </w:t>
      </w:r>
      <w:proofErr w:type="spellStart"/>
      <w:r>
        <w:rPr>
          <w:i/>
          <w:iCs/>
        </w:rPr>
        <w:t>grid</w:t>
      </w:r>
      <w:proofErr w:type="spellEnd"/>
      <w:r>
        <w:t>) permit integrarea în sistemul energetic a unor forme diverse de energie din surse regenerabile, precum energia eoliană sau solară și furnizarea continuă de electricitate.</w:t>
      </w:r>
    </w:p>
    <w:p w:rsidR="002C1D77" w:rsidRPr="00290B55" w:rsidRDefault="00DC05B0" w:rsidP="00290B55">
      <w:pPr>
        <w:numPr>
          <w:ilvl w:val="0"/>
          <w:numId w:val="1"/>
        </w:numPr>
        <w:spacing w:after="120" w:line="276" w:lineRule="auto"/>
        <w:ind w:left="403" w:hanging="403"/>
        <w:rPr>
          <w:b/>
        </w:rPr>
      </w:pPr>
      <w:r>
        <w:rPr>
          <w:rStyle w:val="Bodytext2Bold"/>
        </w:rPr>
        <w:t>Reduceți defrișările.</w:t>
      </w:r>
      <w:r>
        <w:t xml:space="preserve"> </w:t>
      </w:r>
      <w:r>
        <w:rPr>
          <w:color w:val="000000"/>
        </w:rPr>
        <w:t>În prezent, defrișările sunt responsabile pentru aproximativ 15 % din emisiile de gaze cu efect de seră la nivel mondial. O mare parte din aceste defrișări apar în pădurile tropicale ale țărilor în curs de dezvoltare, inclusiv în bazinul Amazonului, în Africa și în Asia de Sud/de Sud-Est. Conservarea pădurilor poate reduce aceste emisii, protejând în același timp biodiversitatea și resursele de apă.</w:t>
      </w:r>
    </w:p>
    <w:p w:rsidR="002C1D77" w:rsidRPr="00290B55" w:rsidRDefault="00DC05B0" w:rsidP="00290B55">
      <w:pPr>
        <w:numPr>
          <w:ilvl w:val="0"/>
          <w:numId w:val="1"/>
        </w:numPr>
        <w:spacing w:after="120" w:line="276" w:lineRule="auto"/>
        <w:ind w:left="403" w:hanging="403"/>
        <w:rPr>
          <w:b/>
        </w:rPr>
      </w:pPr>
      <w:r>
        <w:rPr>
          <w:rStyle w:val="Bodytext2Bold"/>
        </w:rPr>
        <w:t xml:space="preserve">Luați în considerare împăduririle. </w:t>
      </w:r>
      <w:r>
        <w:rPr>
          <w:color w:val="000000"/>
        </w:rPr>
        <w:t xml:space="preserve">Împădurirea constă în plantarea de noi păduri pe terenuri pe care nu sunt copaci, uneori acestea fiind terenuri care au fost defrișate în trecut sau care s-au degradat. </w:t>
      </w:r>
      <w:r>
        <w:t>Pe</w:t>
      </w:r>
      <w:r w:rsidR="008C7380">
        <w:t> </w:t>
      </w:r>
      <w:r>
        <w:t>măsură ce arborii cresc, CO</w:t>
      </w:r>
      <w:r>
        <w:rPr>
          <w:vertAlign w:val="subscript"/>
        </w:rPr>
        <w:t>2</w:t>
      </w:r>
      <w:r>
        <w:t xml:space="preserve"> este sechestrat din atmosferă și depozitat în biomasă și în soluri.</w:t>
      </w:r>
      <w:r>
        <w:rPr>
          <w:color w:val="000000"/>
        </w:rPr>
        <w:t xml:space="preserve"> Dacă </w:t>
      </w:r>
      <w:r>
        <w:rPr>
          <w:color w:val="000000"/>
        </w:rPr>
        <w:lastRenderedPageBreak/>
        <w:t>sunt puse în aplicare pe scară largă, împăduririle ar putea utiliza terenurile necesare culturilor sau șeptelului, scumpind astfel alimentele. Trebuie să evaluați cât de mult teren vor necesita politicile de împădurire pe care dumneavoastră și alte grupuri le propuneți.</w:t>
      </w:r>
    </w:p>
    <w:p w:rsidR="002C1D77" w:rsidRPr="007A09A4" w:rsidRDefault="00DC05B0" w:rsidP="00290B55">
      <w:pPr>
        <w:numPr>
          <w:ilvl w:val="0"/>
          <w:numId w:val="1"/>
        </w:numPr>
        <w:spacing w:after="120" w:line="276" w:lineRule="auto"/>
        <w:ind w:left="400" w:hanging="400"/>
      </w:pPr>
      <w:r>
        <w:rPr>
          <w:b/>
          <w:color w:val="000000"/>
        </w:rPr>
        <w:t>Reduceți emisiile de metan, protoxid de azot și alte gaze cu efect de seră.</w:t>
      </w:r>
      <w:r>
        <w:t xml:space="preserve"> CO</w:t>
      </w:r>
      <w:r>
        <w:rPr>
          <w:vertAlign w:val="subscript"/>
        </w:rPr>
        <w:t>2</w:t>
      </w:r>
      <w:r>
        <w:t xml:space="preserve"> este cel mai important gaz cu efect de seră (GES), dar alte gaze provoacă circa un sfert din încălzirea globală. Printre ele se numără metanul (CH</w:t>
      </w:r>
      <w:r>
        <w:rPr>
          <w:vertAlign w:val="subscript"/>
        </w:rPr>
        <w:t>4</w:t>
      </w:r>
      <w:r>
        <w:t>), protoxidul de azot (N</w:t>
      </w:r>
      <w:r>
        <w:rPr>
          <w:vertAlign w:val="subscript"/>
        </w:rPr>
        <w:t>2</w:t>
      </w:r>
      <w:r>
        <w:t xml:space="preserve">O) și o gamă largă de </w:t>
      </w:r>
      <w:proofErr w:type="spellStart"/>
      <w:r>
        <w:t>clorofluorcarburi</w:t>
      </w:r>
      <w:proofErr w:type="spellEnd"/>
      <w:r>
        <w:t xml:space="preserve"> și alți compuși fluorurați (așa-numitele „gaze fluorurate”). Moleculă cu moleculă, multe dintre gazele altele decât CO</w:t>
      </w:r>
      <w:r>
        <w:rPr>
          <w:vertAlign w:val="subscript"/>
        </w:rPr>
        <w:t>2</w:t>
      </w:r>
      <w:r>
        <w:t xml:space="preserve"> contribuie de zeci, sute sau chiar mii de ori mai mult la încălzirea globală decât acesta din urmă. Deși prezente în concentrații scăzute, aceste gaze cunosc o creștere rapidă.</w:t>
      </w:r>
    </w:p>
    <w:p w:rsidR="002C1D77" w:rsidRPr="007A09A4" w:rsidRDefault="00DC05B0" w:rsidP="00290B55">
      <w:pPr>
        <w:keepLines/>
        <w:numPr>
          <w:ilvl w:val="0"/>
          <w:numId w:val="1"/>
        </w:numPr>
        <w:spacing w:after="120" w:line="276" w:lineRule="auto"/>
        <w:ind w:left="403" w:hanging="403"/>
      </w:pPr>
      <w:r>
        <w:rPr>
          <w:b/>
        </w:rPr>
        <w:t>Decideți să investiți în cercetare și dezvoltare (C&amp;D) pentru o nouă sursă de energie fără emisii de carbon, cu costuri reduse.</w:t>
      </w:r>
      <w:r>
        <w:t xml:space="preserve"> Unii oameni de știință consideră că un nou tip de energie nucleară, de exemplu fisiunea toriului sau fuziunea nucleară, ar oferi cea mai bună sursă de energie pentru înlocuirea combustibililor fosili, susținând că astfel de tehnologii ar putea oferi energie electrică cu costuri reduse, fără emisii de dioxid de carbon la scară largă. Mai multe universități și întreprinderi de vârf explorează noi soluții promițătoare în domeniul energiei nucleare. Cu toate acestea, în prezent, aceste noi tehnologii nu sunt disponibile; ele ar necesita investiții substanțiale pentru a deveni viabile din punct de vedere comercial.</w:t>
      </w:r>
    </w:p>
    <w:p w:rsidR="002C1D77" w:rsidRPr="007A09A4" w:rsidRDefault="00DC05B0" w:rsidP="00290B55">
      <w:pPr>
        <w:numPr>
          <w:ilvl w:val="0"/>
          <w:numId w:val="1"/>
        </w:numPr>
        <w:spacing w:after="120" w:line="276" w:lineRule="auto"/>
        <w:ind w:left="403" w:hanging="403"/>
      </w:pPr>
      <w:r>
        <w:rPr>
          <w:b/>
        </w:rPr>
        <w:t>Decideți dacă pot fi realizate evoluții semnificative în tehnologia de eliminare a carbonului.</w:t>
      </w:r>
      <w:r>
        <w:t xml:space="preserve"> Domeniul emergent al tehnologiei de eliminare a dioxidului de carbon (CDR) caută metode pentru a elimina CO</w:t>
      </w:r>
      <w:r>
        <w:rPr>
          <w:vertAlign w:val="subscript"/>
        </w:rPr>
        <w:t>2</w:t>
      </w:r>
      <w:r>
        <w:t xml:space="preserve"> aflat deja în atmosferă. Aceste tehnologii variază de la modificări ale practicilor agricole, care ar putea fi deja puse în aplicare, până la tehnologii speculative și care nu și-au dovedit eficacitatea, precum captarea directă a aerului (DAC). Grupul dumneavoastră poate decide să investească în aceste tehnologii.</w:t>
      </w:r>
    </w:p>
    <w:p w:rsidR="002C1D77" w:rsidRPr="007A09A4" w:rsidRDefault="00DC05B0" w:rsidP="00290B55">
      <w:pPr>
        <w:numPr>
          <w:ilvl w:val="0"/>
          <w:numId w:val="1"/>
        </w:numPr>
        <w:tabs>
          <w:tab w:val="left" w:pos="355"/>
        </w:tabs>
        <w:spacing w:after="120" w:line="276" w:lineRule="auto"/>
        <w:ind w:left="403" w:hanging="403"/>
      </w:pPr>
      <w:r>
        <w:rPr>
          <w:b/>
        </w:rPr>
        <w:t>Luați în considerare stabilirea unui preț pentru emisiile de CO</w:t>
      </w:r>
      <w:r>
        <w:rPr>
          <w:b/>
          <w:vertAlign w:val="subscript"/>
        </w:rPr>
        <w:t>2</w:t>
      </w:r>
      <w:r>
        <w:rPr>
          <w:b/>
        </w:rPr>
        <w:t>.</w:t>
      </w:r>
      <w:r>
        <w:t xml:space="preserve"> Combustibilii fosili domină în continuare sistemul energetic mondial, iar emisiile de CO</w:t>
      </w:r>
      <w:r>
        <w:rPr>
          <w:vertAlign w:val="subscript"/>
        </w:rPr>
        <w:t>2</w:t>
      </w:r>
      <w:r>
        <w:t xml:space="preserve"> pe care le emit sunt de departe cea mai importantă sursă de emisii de gaze cu efect de seră. Economiștii sunt de acord că intervenția asupra prețului carbonului este cel mai bun mod de a reduce emisiile globale de gaze cu efect de seră (GES). Trebuie luată în calcul opțiunea de a introduce un preț pentru carbon, eventual aplicat treptat în timp, astfel încât industria și consumatorii să aibă timp pentru a se adapta. Veniturile ar putea fi oferite populației, ar putea contribui la compensarea costurilor altor politici, la reducerea deficitelor bugetare sau la acordarea de ajutoare pentru a ajuta națiunile în curs de dezvoltare să își reducă emisiile. Deși unele dintre țările, statele și provinciile dvs. au introdus deja un preț pe carbon, aceste prețuri sunt mult mai mici decât cel recomandat de mulți economiști, de 30-50 USD pe tona de CO</w:t>
      </w:r>
      <w:r>
        <w:rPr>
          <w:vertAlign w:val="subscript"/>
        </w:rPr>
        <w:t>2</w:t>
      </w:r>
      <w:r>
        <w:t xml:space="preserve"> sau mai mult. Industria combustibililor fosili se opune prețurilor carbonului, la fel ca și întreprinderile care depind în mare măsură de combustibilii fosili.</w:t>
      </w:r>
    </w:p>
    <w:p w:rsidR="002C1D77" w:rsidRPr="000A6D24" w:rsidRDefault="00DC05B0" w:rsidP="00290B55">
      <w:pPr>
        <w:spacing w:after="120" w:line="276" w:lineRule="auto"/>
        <w:rPr>
          <w:b/>
        </w:rPr>
      </w:pPr>
      <w:r>
        <w:rPr>
          <w:b/>
          <w:color w:val="000000"/>
        </w:rPr>
        <w:t>Considerații suplimentare</w:t>
      </w:r>
    </w:p>
    <w:p w:rsidR="002C1D77" w:rsidRPr="004D0CFD" w:rsidRDefault="00DC05B0" w:rsidP="000A6D24">
      <w:pPr>
        <w:spacing w:after="120" w:line="276" w:lineRule="auto"/>
      </w:pPr>
      <w:r>
        <w:rPr>
          <w:color w:val="000000"/>
        </w:rPr>
        <w:t xml:space="preserve">Recunoașteți că schimbările climatice sunt reale, cauzate în principal de arderea combustibililor fosili, și că acest fapt prezintă riscuri grave pentru oamenii din lumea întreagă, inclusiv pentru cei din țara dumneavoastră. Schimbările climatice reprezintă un factor de amenințare gravă, care subminează securitatea națională a țării dumneavoastră, deoarece daunele provocate de schimbările climatice stimulează tot mai mult conflictele și migrația, ceea ce a dus deja la reacții din partea unor grupuri și la impunerea unor politici </w:t>
      </w:r>
      <w:proofErr w:type="spellStart"/>
      <w:r>
        <w:rPr>
          <w:color w:val="000000"/>
        </w:rPr>
        <w:t>antiimigrație</w:t>
      </w:r>
      <w:proofErr w:type="spellEnd"/>
      <w:r>
        <w:rPr>
          <w:color w:val="000000"/>
        </w:rPr>
        <w:t>.</w:t>
      </w:r>
    </w:p>
    <w:p w:rsidR="002C1D77" w:rsidRPr="004D0CFD" w:rsidRDefault="00DC05B0" w:rsidP="000A6D24">
      <w:pPr>
        <w:spacing w:after="120" w:line="276" w:lineRule="auto"/>
      </w:pPr>
      <w:r>
        <w:rPr>
          <w:color w:val="000000"/>
        </w:rPr>
        <w:t xml:space="preserve">În același timp, națiunile dumneavoastră depind de combustibilii fosili – ele sunt responsabile astăzi pentru 36 % din emisiile de gaze cu efect de seră (GES) la nivel mondial și pentru o proporție mult mai mare a emisiilor cumulate de la revoluția industrială. Economiile anumitor țări din grupul dumneavoastră se bazează pe exporturile de combustibili fosili, în special Rusia (petrol și gaze), Australia (cărbune) și Canada (petrol obținut din nisipuri bituminoase). Statele Unite și-au anunțat intenția de a se retrage din Acordul de la Paris din 2015 privind schimbările climatice, iar guvernul federal al SUA renunță la multe politici favorabile climei. </w:t>
      </w:r>
      <w:r>
        <w:t xml:space="preserve">În același timp, </w:t>
      </w:r>
      <w:r>
        <w:rPr>
          <w:rStyle w:val="Bodytext2"/>
        </w:rPr>
        <w:t>zeci de state</w:t>
      </w:r>
      <w:r>
        <w:t xml:space="preserve"> și sute de orașe, comitate și întreprinderi din SUA au declarat că </w:t>
      </w:r>
      <w:r>
        <w:lastRenderedPageBreak/>
        <w:t>„</w:t>
      </w:r>
      <w:r>
        <w:rPr>
          <w:rStyle w:val="Bodytext2"/>
        </w:rPr>
        <w:t>noi</w:t>
      </w:r>
      <w:r w:rsidR="008C7380">
        <w:rPr>
          <w:rStyle w:val="Bodytext2"/>
        </w:rPr>
        <w:t> </w:t>
      </w:r>
      <w:r>
        <w:rPr>
          <w:rStyle w:val="Bodytext2"/>
        </w:rPr>
        <w:t>încă</w:t>
      </w:r>
      <w:r w:rsidR="008C7380">
        <w:rPr>
          <w:rStyle w:val="Bodytext2"/>
        </w:rPr>
        <w:t> </w:t>
      </w:r>
      <w:r>
        <w:rPr>
          <w:rStyle w:val="Bodytext2"/>
        </w:rPr>
        <w:t>participăm</w:t>
      </w:r>
      <w:r>
        <w:t>” și s-au angajat să-și îndeplinească sau să-și depășească cota din angajamentul SUA.</w:t>
      </w:r>
      <w:r>
        <w:rPr>
          <w:color w:val="000000"/>
        </w:rPr>
        <w:t xml:space="preserve"> Multe guverne și întreprinderi consideră că politicile în favoarea mediului sunt favorabile economiei. Eficiența energetică și energia din surse regenerabile, cum sunt energia eoliană și cea solară, sunt adesea profitabile, creează locuri de muncă și îmbunătățesc sănătatea publică.</w:t>
      </w:r>
    </w:p>
    <w:p w:rsidR="002C1D77" w:rsidRPr="004D0CFD" w:rsidRDefault="00DC05B0">
      <w:pPr>
        <w:spacing w:line="276" w:lineRule="auto"/>
      </w:pPr>
      <w:r>
        <w:rPr>
          <w:color w:val="000000"/>
        </w:rPr>
        <w:t>În timp ce națiunile dumneavoastră se străduiesc să reducă propriile emisii de gaze cu efect de seră, observați că China este cel mai mare emițător de emisii (28 % din emisiile globale), iar țările în curs de dezvoltare și țările emergente cu creștere rapidă emit împreună aproximativ 65 % din emisiile globale, deși emisiile per persoană în aceste țări sunt scăzute.</w:t>
      </w:r>
    </w:p>
    <w:sectPr w:rsidR="002C1D77" w:rsidRPr="004D0CFD" w:rsidSect="004D0CFD">
      <w:footerReference w:type="default" r:id="rId8"/>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FD" w:rsidRPr="00290B55" w:rsidRDefault="004D0CFD">
    <w:pPr>
      <w:pStyle w:val="Footer"/>
      <w:rPr>
        <w:i/>
        <w:sz w:val="18"/>
        <w:szCs w:val="18"/>
      </w:rPr>
    </w:pPr>
    <w:r>
      <w:rPr>
        <w:i/>
        <w:sz w:val="18"/>
        <w:szCs w:val="18"/>
      </w:rPr>
      <w:t>Elaborat de „Climate Interactive”, inițiativa pentru dezvoltare durabilă a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of Management” a MIT, ESB Business </w:t>
    </w:r>
    <w:proofErr w:type="spellStart"/>
    <w:r>
      <w:rPr>
        <w:i/>
        <w:sz w:val="18"/>
        <w:szCs w:val="18"/>
      </w:rPr>
      <w:t>School</w:t>
    </w:r>
    <w:proofErr w:type="spellEnd"/>
    <w:r>
      <w:rPr>
        <w:i/>
        <w:sz w:val="18"/>
        <w:szCs w:val="18"/>
      </w:rPr>
      <w:t xml:space="preserve"> și de inițiativa privind schimbările climatice a Universității Massachusetts </w:t>
    </w:r>
    <w:proofErr w:type="spellStart"/>
    <w:r>
      <w:rPr>
        <w:i/>
        <w:sz w:val="18"/>
        <w:szCs w:val="18"/>
      </w:rPr>
      <w:t>Lowell</w:t>
    </w:r>
    <w:proofErr w:type="spellEnd"/>
    <w:r>
      <w:rPr>
        <w:i/>
        <w:sz w:val="18"/>
        <w:szCs w:val="18"/>
      </w:rPr>
      <w:t xml:space="preserve">. Ultima actualizare: septembrie 2019. </w:t>
    </w:r>
    <w:hyperlink r:id="rId1" w:history="1">
      <w:r>
        <w:rPr>
          <w:rStyle w:val="Hyperlink"/>
          <w:i/>
          <w:sz w:val="18"/>
          <w:szCs w:val="18"/>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77"/>
    <w:rsid w:val="0006720E"/>
    <w:rsid w:val="000A6D24"/>
    <w:rsid w:val="00290B55"/>
    <w:rsid w:val="002C1D77"/>
    <w:rsid w:val="004D0CFD"/>
    <w:rsid w:val="00534E8F"/>
    <w:rsid w:val="00571732"/>
    <w:rsid w:val="005C1752"/>
    <w:rsid w:val="006D3A3F"/>
    <w:rsid w:val="007412A6"/>
    <w:rsid w:val="007835BC"/>
    <w:rsid w:val="007A09A4"/>
    <w:rsid w:val="008C7380"/>
    <w:rsid w:val="0091067F"/>
    <w:rsid w:val="00A26097"/>
    <w:rsid w:val="00BE2C0D"/>
    <w:rsid w:val="00BE3933"/>
    <w:rsid w:val="00CF2244"/>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3058B"/>
  <w15:docId w15:val="{4A74DD22-5725-43B2-A4B4-E5506D00A4FB}"/>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ro-RO"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ro-RO"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ro-RO"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o-RO"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ro-RO"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ro-RO"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ro-RO"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ro-RO"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CTJJHAUHWN5E-644613129-3173</_dlc_DocId>
    <_dlc_DocIdUrl xmlns="bfc960a6-20da-4c94-8684-71380fca093b">
      <Url>http://dm2016/eesc/2019/_layouts/15/DocIdRedir.aspx?ID=CTJJHAUHWN5E-644613129-3173</Url>
      <Description>CTJJHAUHWN5E-644613129-3173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2019-12-11T12:00:00+00:00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152</Value>
      <Value>62</Value>
      <Value>60</Value>
      <Value>59</Value>
      <Value>63</Value>
      <Value>57</Value>
      <Value>56</Value>
      <Value>55</Value>
      <Value>52</Value>
      <Value>49</Value>
      <Value>48</Value>
      <Value>46</Value>
      <Value>45</Value>
      <Value>38</Value>
      <Value>65</Value>
      <Value>153</Value>
      <Value>25</Value>
      <Value>21</Value>
      <Value>58</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56D62F-C766-4FA2-A0B9-FF31ABC8A145}"/>
</file>

<file path=customXml/itemProps2.xml><?xml version="1.0" encoding="utf-8"?>
<ds:datastoreItem xmlns:ds="http://schemas.openxmlformats.org/officeDocument/2006/customXml" ds:itemID="{DC5E7745-A5DF-47D4-8E3D-0ADFA0CDA63F}"/>
</file>

<file path=customXml/itemProps3.xml><?xml version="1.0" encoding="utf-8"?>
<ds:datastoreItem xmlns:ds="http://schemas.openxmlformats.org/officeDocument/2006/customXml" ds:itemID="{472303EF-21BC-47D8-8FC7-106B16B588FA}"/>
</file>

<file path=customXml/itemProps4.xml><?xml version="1.0" encoding="utf-8"?>
<ds:datastoreItem xmlns:ds="http://schemas.openxmlformats.org/officeDocument/2006/customXml" ds:itemID="{15DB9910-856E-43AF-9DC0-3C14067ED843}"/>
</file>

<file path=docProps/app.xml><?xml version="1.0" encoding="utf-8"?>
<Properties xmlns="http://schemas.openxmlformats.org/officeDocument/2006/extended-properties" xmlns:vt="http://schemas.openxmlformats.org/officeDocument/2006/docPropsVTypes">
  <Template>Styles.dotm</Template>
  <TotalTime>3</TotalTime>
  <Pages>3</Pages>
  <Words>1372</Words>
  <Characters>7822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Documente de lucru - Grupul 6A - Țări dezvoltate</dc:title>
  <dc:creator>Greff Daniela</dc:creator>
  <cp:keywords>EESC-2019-05163-05-00-INFO-TRA-EN</cp:keywords>
  <dc:description>Rapporteur:  - Original language: EN - Date of document: 11/12/2019 - Date of meeting:  - External documents:  - Administrator: MME LAHOUSSE Chloé</dc:description>
  <cp:lastModifiedBy>Daniela Greff</cp:lastModifiedBy>
  <cp:revision>3</cp:revision>
  <dcterms:created xsi:type="dcterms:W3CDTF">2019-12-11T11:06:00Z</dcterms:created>
  <dcterms:modified xsi:type="dcterms:W3CDTF">2019-12-11T11:09:00Z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6557614e-f52d-4f62-accf-38464f405f37</vt:lpwstr>
  </property>
  <property fmtid="{D5CDD505-2E9C-101B-9397-08002B2CF9AE}" pid="9" name="AvailableTranslations">
    <vt:lpwstr>63;#MT|7df99101-6854-4a26-b53a-b88c0da02c26;#152;#MK|34ce48bb-063e-4413-a932-50853dc71c5c;#162;#TR|6e4ededd-04c4-4fa0-94e0-1028050302d5;#64;#PT|50ccc04a-eadd-42ae-a0cb-acaf45f812ba;#16;#PL|1e03da61-4678-4e07-b136-b5024ca9197b;#25;#SK|46d9fce0-ef79-4f71-b89b-cd6aa82426b8;#57;#RO|feb747a2-64cd-4299-af12-4833ddc30497;#62;#FI|87606a43-d45f-42d6-b8c9-e1a3457db5b7;#72;#GA|762d2456-c427-4ecb-b312-af3dad8e258c;#58;#LV|46f7e311-5d9f-4663-b433-18aeccb7ace7;#65;#ET|ff6c3f4c-b02c-4c3c-ab07-2c37995a7a0a;#14;#DE|f6b31e5a-26fa-4935-b661-318e46daf27e;#154;#SQ|5ac17240-8d11-45ec-9893-659b209d7a00;#46;#CS|72f9705b-0217-4fd3-bea2-cbc7ed80e26e;#48;#LT|a7ff5ce7-6123-4f68-865a-a57c31810414;#56;#SL|98a412ae-eb01-49e9-ae3d-585a81724cfc;#4;#EN|f2175f21-25d7-44a3-96da-d6a61b075e1b;#59;#HR|2f555653-ed1a-4fe6-8362-9082d95989e5;#52;#DA|5d49c027-8956-412b-aa16-e85a0f96ad0e;#10;#FR|d2afafd3-4c81-4f60-8f52-ee33f2f54ff3;#49;#EL|6d4f4d51-af9b-4650-94b4-4276bee85c91;#45;#NL|55c6556c-b4f4-441d-9acf-c498d4f838bd;#17;#ES|e7a6b05b-ae16-40c8-add9-68b64b03aeba;#153;#SR|7f3a1d13-b985-4bfd-981e-afe31377edff;#55;#BG|1a1b3951-7821-4e6a-85f5-5673fc08bd2c;#38;#SV|c2ed69e7-a339-43d7-8f22-d93680a92aa0;#246;#ME|925b3da5-5ac0-4b3c-928c-6ef66a5c9b3c;#21;#IT|0774613c-01ed-4e5d-a25d-11d2388de825;#60;#HU|6b229040-c589-4408-b4c1-4285663d20a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PT|50ccc04a-eadd-42ae-a0cb-acaf45f812ba;PL|1e03da61-4678-4e07-b136-b5024ca9197b;SK|46d9fce0-ef79-4f71-b89b-cd6aa82426b8;FI|87606a43-d45f-42d6-b8c9-e1a3457db5b7;GA|762d2456-c427-4ecb-b312-af3dad8e258c;LV|46f7e311-5d9f-4663-b433-18aeccb7ace7;ET|ff6c3f4c-b02c-4c3c-ab07-2c37995a7a0a;DE|f6b31e5a-26fa-4935-b661-318e46daf27e;SQ|5ac17240-8d11-45ec-9893-659b209d7a00;CS|72f9705b-0217-4fd3-bea2-cbc7ed80e26e;LT|a7ff5ce7-6123-4f68-865a-a57c31810414;SL|98a412ae-eb01-49e9-ae3d-585a81724cfc;EN|f2175f21-25d7-44a3-96da-d6a61b075e1b;HR|2f555653-ed1a-4fe6-8362-9082d95989e5;DA|5d49c027-8956-412b-aa16-e85a0f96ad0e;FR|d2afafd3-4c81-4f60-8f52-ee33f2f54ff3;EL|6d4f4d51-af9b-4650-94b4-4276bee85c91;NL|55c6556c-b4f4-441d-9acf-c498d4f838bd;ES|e7a6b05b-ae16-40c8-add9-68b64b03aeba;SR|7f3a1d13-b985-4bfd-981e-afe31377edff;BG|1a1b3951-7821-4e6a-85f5-5673fc08bd2c;SV|c2ed69e7-a339-43d7-8f22-d93680a92aa0;ME|925b3da5-5ac0-4b3c-928c-6ef66a5c9b3c;IT|0774613c-01ed-4e5d-a25d-11d2388de825;HU|6b229040-c589-4408-b4c1-4285663d20a8</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72;#GA|762d2456-c427-4ecb-b312-af3dad8e258c;#246;#ME|925b3da5-5ac0-4b3c-928c-6ef66a5c9b3c;#154;#SQ|5ac17240-8d11-45ec-9893-659b209d7a00;#64;#PT|50ccc04a-eadd-42ae-a0cb-acaf45f812ba;#152;#MK|34ce48bb-063e-4413-a932-50853dc71c5c;#62;#FI|87606a43-d45f-42d6-b8c9-e1a3457db5b7;#60;#HU|6b229040-c589-4408-b4c1-4285663d20a8;#59;#HR|2f555653-ed1a-4fe6-8362-9082d95989e5;#63;#MT|7df99101-6854-4a26-b53a-b88c0da02c26;#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65;#ET|ff6c3f4c-b02c-4c3c-ab07-2c37995a7a0a;#153;#SR|7f3a1d13-b985-4bfd-981e-afe31377edff;#25;#SK|46d9fce0-ef79-4f71-b89b-cd6aa82426b8;#21;#IT|0774613c-01ed-4e5d-a25d-11d2388de825;#58;#LV|46f7e311-5d9f-4663-b433-18aeccb7ace7;#17;#ES|e7a6b05b-ae16-40c8-add9-68b64b03aeba;#16;#PL|1e03da61-4678-4e07-b136-b5024ca9197b;#14;#DE|f6b31e5a-26fa-4935-b661-318e46daf27e;#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57;#RO|feb747a2-64cd-4299-af12-4833ddc30497</vt:lpwstr>
  </property>
</Properties>
</file>